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rFonts w:ascii="Consolas" w:hAnsi="Consolas"/>
          <w:b/>
          <w:i w:val="0"/>
          <w:color w:val="6B6558"/>
          <w:sz w:val="17"/>
          <w:caps w:val="1"/>
          <w:spacing w:val="32"/>
        </w:rPr>
        <w:t>Founding Charter  ·  Version 1.3  ·  10 August 2026</w:t>
      </w:r>
    </w:p>
    <w:p>
      <w:pPr>
        <w:spacing w:before="40" w:after="80"/>
      </w:pPr>
      <w:r>
        <w:rPr>
          <w:rFonts w:ascii="Georgia" w:hAnsi="Georgia"/>
          <w:b w:val="0"/>
          <w:i w:val="0"/>
          <w:color w:val="141A2B"/>
          <w:sz w:val="60"/>
        </w:rPr>
        <w:t xml:space="preserve">The </w:t>
      </w:r>
      <w:r>
        <w:rPr>
          <w:rFonts w:ascii="Georgia" w:hAnsi="Georgia"/>
          <w:b w:val="0"/>
          <w:i/>
          <w:color w:val="B45309"/>
          <w:sz w:val="60"/>
        </w:rPr>
        <w:t>Precipice</w:t>
      </w:r>
    </w:p>
    <w:p>
      <w:pPr>
        <w:spacing w:after="400"/>
      </w:pPr>
      <w:r>
        <w:rPr>
          <w:rFonts w:ascii="Georgia" w:hAnsi="Georgia"/>
          <w:b w:val="0"/>
          <w:i/>
          <w:color w:val="6B6558"/>
          <w:sz w:val="24"/>
        </w:rPr>
        <w:t>A founding constitution for the movement stewarded by Precipice Health, LLC.</w:t>
      </w:r>
    </w:p>
    <w:tbl>
      <w:tblPr>
        <w:tblW w:type="auto" w:w="0"/>
        <w:tblLayout w:type="fixed"/>
        <w:tblLook w:firstColumn="1" w:firstRow="1" w:lastColumn="0" w:lastRow="0" w:noHBand="0" w:noVBand="1" w:val="04A0"/>
      </w:tblPr>
      <w:tblGrid>
        <w:gridCol w:w="8787"/>
      </w:tblGrid>
      <w:tr>
        <w:tc>
          <w:tcPr>
            <w:tcW w:type="dxa" w:w="8787"/>
            <w:shd w:val="clear" w:color="auto" w:fill="F9F1DE"/>
            <w:tcMar>
              <w:top w:w="200" w:type="dxa"/>
              <w:left w:w="260" w:type="dxa"/>
              <w:bottom w:w="200" w:type="dxa"/>
              <w:right w:w="260" w:type="dxa"/>
            </w:tcMar>
            <w:tcBorders>
              <w:top w:val="nil"/>
              <w:bottom w:val="nil"/>
              <w:right w:val="nil"/>
              <w:left w:val="single" w:sz="20" w:color="B45309"/>
            </w:tcBorders>
          </w:tcPr>
          <w:p>
            <w:r>
              <w:rPr>
                <w:rFonts w:ascii="Georgia" w:hAnsi="Georgia"/>
                <w:b w:val="0"/>
                <w:i/>
                <w:color w:val="141A2B"/>
                <w:sz w:val="26"/>
              </w:rPr>
              <w:t>Human beings should not have to surrender ownership of their stories in order to have their evidence believed.</w:t>
            </w:r>
          </w:p>
        </w:tc>
      </w:tr>
    </w:tbl>
    <w:p/>
    <w:p>
      <w:pPr>
        <w:spacing w:before="360" w:after="60"/>
      </w:pPr>
      <w:r>
        <w:rPr>
          <w:rFonts w:ascii="Consolas" w:hAnsi="Consolas"/>
          <w:b/>
          <w:i w:val="0"/>
          <w:color w:val="B45309"/>
          <w:sz w:val="17"/>
          <w:caps w:val="1"/>
          <w:spacing w:val="36"/>
        </w:rPr>
        <w:t>A letter from the founder</w:t>
      </w:r>
    </w:p>
    <w:p>
      <w:pPr>
        <w:spacing w:after="120"/>
      </w:pPr>
      <w:r>
        <w:rPr>
          <w:rFonts w:ascii="Georgia" w:hAnsi="Georgia"/>
          <w:b w:val="0"/>
          <w:i w:val="0"/>
          <w:color w:val="141A2B"/>
          <w:sz w:val="36"/>
        </w:rPr>
        <w:t>Why this exists</w:t>
      </w:r>
    </w:p>
    <w:p>
      <w:pPr>
        <w:spacing w:after="160" w:line="336" w:lineRule="auto"/>
      </w:pPr>
      <w:r>
        <w:rPr>
          <w:rFonts w:ascii="Georgia" w:hAnsi="Georgia"/>
          <w:b w:val="0"/>
          <w:i w:val="0"/>
          <w:color w:val="3A3A4A"/>
          <w:sz w:val="21"/>
        </w:rPr>
        <w:t>I built the first version of the tools this Charter governs the way I build everything — at a kitchen table, after midnight, because a problem wouldn't leave me alone.</w:t>
      </w:r>
    </w:p>
    <w:p>
      <w:pPr>
        <w:spacing w:after="160" w:line="336" w:lineRule="auto"/>
      </w:pPr>
      <w:r>
        <w:rPr>
          <w:rFonts w:ascii="Georgia" w:hAnsi="Georgia"/>
          <w:b w:val="0"/>
          <w:i w:val="0"/>
          <w:color w:val="3A3A4A"/>
          <w:sz w:val="21"/>
        </w:rPr>
        <w:t xml:space="preserve">I am a U.S. Navy and Marine Corps veteran. I spent a career as a federal Chief Data Officer, in the Senior Executive Service, before a medical separation. And I am a chronic migraine patient who has sat in a seven-minute appointment trying to compress six months of suffering into a sentence a stranger would believe. </w:t>
      </w:r>
      <w:r>
        <w:rPr>
          <w:rFonts w:ascii="Georgia" w:hAnsi="Georgia"/>
          <w:b/>
          <w:i w:val="0"/>
          <w:color w:val="141A2B"/>
          <w:sz w:val="21"/>
        </w:rPr>
        <w:t>I know what it feels like to be unseen by a system built to decide your future. I also know, now, what it feels like to build the tool that finally sees you.</w:t>
      </w:r>
    </w:p>
    <w:p>
      <w:pPr>
        <w:spacing w:after="160" w:line="336" w:lineRule="auto"/>
      </w:pPr>
      <w:r>
        <w:rPr>
          <w:rFonts w:ascii="Georgia" w:hAnsi="Georgia"/>
          <w:b w:val="0"/>
          <w:i w:val="0"/>
          <w:color w:val="3A3A4A"/>
          <w:sz w:val="21"/>
        </w:rPr>
        <w:t>Every product we build begins the same way — not as a market opportunity, but as a need that had no name and no vendor. A way to prove pain to a rater who wasn't there for it. A way to protect a child's heart without walling off the world. A way to keep a family from drowning quietly in its own calendar. A way to be understood instead of sorted.</w:t>
      </w:r>
    </w:p>
    <w:p>
      <w:pPr>
        <w:spacing w:after="160" w:line="336" w:lineRule="auto"/>
      </w:pPr>
      <w:r>
        <w:rPr>
          <w:rFonts w:ascii="Georgia" w:hAnsi="Georgia"/>
          <w:b w:val="0"/>
          <w:i w:val="0"/>
          <w:color w:val="3A3A4A"/>
          <w:sz w:val="21"/>
        </w:rPr>
        <w:t>This Charter is not a pitch. It is a public standard against which our choices may be judged. It tells supporters what they are joining, users what they may expect, partners what cannot be negotiated, and future leadership — including me — what must remain true when growth, praise, scarcity, urgency, or opportunity make compromise appear reasonable.</w:t>
      </w:r>
    </w:p>
    <w:p>
      <w:pPr>
        <w:spacing w:after="160" w:line="336" w:lineRule="auto"/>
      </w:pPr>
      <w:r>
        <w:rPr>
          <w:rFonts w:ascii="Georgia" w:hAnsi="Georgia"/>
          <w:b w:val="0"/>
          <w:i w:val="0"/>
          <w:color w:val="3A3A4A"/>
          <w:sz w:val="21"/>
        </w:rPr>
        <w:t>We are not building software. We are building technologies that stand beside people during the moments that matter most. Software is simply the form those commitments take today.</w:t>
      </w:r>
    </w:p>
    <w:p>
      <w:pPr>
        <w:spacing w:after="120" w:line="336" w:lineRule="auto"/>
      </w:pPr>
      <w:r>
        <w:rPr>
          <w:rFonts w:ascii="Georgia" w:hAnsi="Georgia"/>
          <w:b/>
          <w:i w:val="0"/>
          <w:color w:val="141A2B"/>
          <w:sz w:val="20"/>
        </w:rPr>
        <w:t>Roger M. Mishoe</w:t>
      </w:r>
      <w:r>
        <w:rPr>
          <w:rFonts w:ascii="Georgia" w:hAnsi="Georgia"/>
          <w:b w:val="0"/>
          <w:i w:val="0"/>
          <w:color w:val="6B6558"/>
          <w:sz w:val="19"/>
        </w:rPr>
        <w:t xml:space="preserve">   ·   Founder · Precipice Health, LLC</w:t>
      </w:r>
    </w:p>
    <w:p>
      <w:pPr>
        <w:pBdr>
          <w:bottom w:val="single" w:sz="4" w:color="C8BFA8"/>
        </w:pBdr>
        <w:spacing w:before="120" w:after="120"/>
      </w:pPr>
    </w:p>
    <w:p>
      <w:pPr>
        <w:spacing w:after="120"/>
      </w:pPr>
      <w:r>
        <w:rPr>
          <w:rFonts w:ascii="Georgia" w:hAnsi="Georgia"/>
          <w:b w:val="0"/>
          <w:i w:val="0"/>
          <w:color w:val="141A2B"/>
          <w:sz w:val="36"/>
        </w:rPr>
        <w:t>Preamble</w:t>
      </w:r>
    </w:p>
    <w:p>
      <w:pPr>
        <w:spacing w:after="160" w:line="336" w:lineRule="auto"/>
      </w:pPr>
      <w:r>
        <w:rPr>
          <w:rFonts w:ascii="Georgia" w:hAnsi="Georgia"/>
          <w:b w:val="0"/>
          <w:i w:val="0"/>
          <w:color w:val="3A3A4A"/>
          <w:sz w:val="21"/>
        </w:rPr>
        <w:t>We stand at a precipice. On one side is a world in which institutions collect more information about people than ever before, yet routinely fail to understand the lives represented by that information. On the other is a more humane possibility: people equipped to recognize their own patterns, preserve their own memories, explain their own needs, and carry credible evidence into the rooms where consequential decisions are made.</w:t>
      </w:r>
    </w:p>
    <w:p>
      <w:pPr>
        <w:spacing w:after="160" w:line="336" w:lineRule="auto"/>
      </w:pPr>
      <w:r>
        <w:rPr>
          <w:rFonts w:ascii="Georgia" w:hAnsi="Georgia"/>
          <w:b w:val="0"/>
          <w:i w:val="0"/>
          <w:color w:val="3A3A4A"/>
          <w:sz w:val="21"/>
        </w:rPr>
        <w:t xml:space="preserve">The Precipice is the movement toward that possibility. It begins with Precipice Health, LLC, but it is larger than a company and longer-lived than any product. It gathers builders, families, veterans, clinicians, educators, advocates, communities, and organizations around a shared conviction: </w:t>
      </w:r>
      <w:r>
        <w:rPr>
          <w:rFonts w:ascii="Georgia" w:hAnsi="Georgia"/>
          <w:b/>
          <w:i w:val="0"/>
          <w:color w:val="141A2B"/>
          <w:sz w:val="21"/>
        </w:rPr>
        <w:t>data becomes power only when it remains connected to the person, context, and dignity from which it came.</w:t>
      </w:r>
    </w:p>
    <w:p>
      <w:pPr>
        <w:spacing w:before="360" w:after="60"/>
      </w:pPr>
      <w:r>
        <w:rPr>
          <w:rFonts w:ascii="Consolas" w:hAnsi="Consolas"/>
          <w:b/>
          <w:i w:val="0"/>
          <w:color w:val="B45309"/>
          <w:sz w:val="17"/>
          <w:caps w:val="1"/>
          <w:spacing w:val="36"/>
        </w:rPr>
        <w:t>Article I</w:t>
      </w:r>
    </w:p>
    <w:p>
      <w:pPr>
        <w:spacing w:after="120"/>
      </w:pPr>
      <w:r>
        <w:rPr>
          <w:rFonts w:ascii="Georgia" w:hAnsi="Georgia"/>
          <w:b w:val="0"/>
          <w:i w:val="0"/>
          <w:color w:val="141A2B"/>
          <w:sz w:val="36"/>
        </w:rPr>
        <w:t>Mission and Horizon</w:t>
      </w:r>
    </w:p>
    <w:p>
      <w:pPr>
        <w:spacing w:after="160" w:line="336" w:lineRule="auto"/>
      </w:pPr>
      <w:r>
        <w:rPr>
          <w:rFonts w:ascii="Georgia" w:hAnsi="Georgia"/>
          <w:b/>
          <w:i w:val="0"/>
          <w:color w:val="141A2B"/>
          <w:sz w:val="21"/>
        </w:rPr>
        <w:t xml:space="preserve">1. Our mission.  </w:t>
      </w:r>
      <w:r>
        <w:rPr>
          <w:rFonts w:ascii="Georgia" w:hAnsi="Georgia"/>
          <w:b w:val="0"/>
          <w:i w:val="0"/>
          <w:color w:val="3A3A4A"/>
          <w:sz w:val="21"/>
        </w:rPr>
        <w:t>The Precipice exists to return interpretive power to people: to help individuals and communities transform lived experience into evidence, evidence into understanding, and understanding into informed action — without surrendering ownership, privacy, or human dignity.</w:t>
      </w:r>
    </w:p>
    <w:p>
      <w:pPr>
        <w:spacing w:after="160" w:line="336" w:lineRule="auto"/>
      </w:pPr>
      <w:r>
        <w:rPr>
          <w:rFonts w:ascii="Georgia" w:hAnsi="Georgia"/>
          <w:b/>
          <w:i w:val="0"/>
          <w:color w:val="141A2B"/>
          <w:sz w:val="21"/>
        </w:rPr>
        <w:t xml:space="preserve">2. The change we seek.  </w:t>
      </w:r>
      <w:r>
        <w:rPr>
          <w:rFonts w:ascii="Georgia" w:hAnsi="Georgia"/>
          <w:b w:val="0"/>
          <w:i w:val="0"/>
          <w:color w:val="3A3A4A"/>
          <w:sz w:val="21"/>
        </w:rPr>
        <w:t>A world in which a migraine history is not dismissed as anecdote; a veteran's record is not reduced to a form; a family's capacity is not mistaken for an empty calendar; a child's emotional reality is not treated as an afterthought; a relationship is not optimized at the expense of dignity; a civic difference is not converted into contempt; a book continues to serve after its first reader; and a memory is preserved without being rewritten by the system entrusted to keep it.</w:t>
      </w:r>
    </w:p>
    <w:p>
      <w:pPr>
        <w:spacing w:after="160" w:line="336" w:lineRule="auto"/>
      </w:pPr>
      <w:r>
        <w:rPr>
          <w:rFonts w:ascii="Georgia" w:hAnsi="Georgia"/>
          <w:b/>
          <w:i w:val="0"/>
          <w:color w:val="141A2B"/>
          <w:sz w:val="21"/>
        </w:rPr>
        <w:t xml:space="preserve">3. Constituting authority and institutional stewardship.  </w:t>
      </w:r>
      <w:r>
        <w:rPr>
          <w:rFonts w:ascii="Georgia" w:hAnsi="Georgia"/>
          <w:b w:val="0"/>
          <w:i w:val="0"/>
          <w:color w:val="3A3A4A"/>
          <w:sz w:val="21"/>
        </w:rPr>
        <w:t>This Charter is established by Roger M. Mishoe in his capacity as Founder of The Precipice and Founder of Precipice Health, LLC. He exercises original founding authority — not authority delegated by another office. Precipice Health shall serve as the movement's founding institutional steward, principal builder, and first operational expression. The company may create products, employ people, earn revenue, enter partnerships, and protect intellectual property; it must do so within the Covenant. The movement supplies the moral horizon. The company serves the movement; the movement does not exist merely to enlarge the company.</w:t>
      </w:r>
    </w:p>
    <w:p>
      <w:pPr>
        <w:spacing w:after="160" w:line="336" w:lineRule="auto"/>
      </w:pPr>
      <w:r>
        <w:rPr>
          <w:rFonts w:ascii="Georgia" w:hAnsi="Georgia"/>
          <w:b/>
          <w:i w:val="0"/>
          <w:color w:val="141A2B"/>
          <w:sz w:val="21"/>
        </w:rPr>
        <w:t xml:space="preserve">4. Audience, authority, and standing.  </w:t>
      </w:r>
      <w:r>
        <w:rPr>
          <w:rFonts w:ascii="Georgia" w:hAnsi="Georgia"/>
          <w:b w:val="0"/>
          <w:i w:val="0"/>
          <w:color w:val="3A3A4A"/>
          <w:sz w:val="21"/>
        </w:rPr>
        <w:t>This Charter is addressed to every person or institution asked to trust, build, represent, support, fund, partner with, or lead The Precipice: users and families; Watchkeepers; employees and future leaders; communities and institutional partners; contributors of Time, Talent, or Treasure; and the public entitled to test our conduct against our claims. Precipice Health holds operating authority. Watchkeepers hold guardianship and standing to question mission drift, request an accounting, and offer good-faith challenge. Guardianship does not itself confer ownership, employment, fiduciary office, or authority to direct company operations. No founder, officer, employee, contributor, partner, or Watchkeeper stands above this Charter while acting in the name of The Precipice.</w:t>
      </w:r>
    </w:p>
    <w:p>
      <w:pPr>
        <w:spacing w:after="160" w:line="336" w:lineRule="auto"/>
      </w:pPr>
      <w:r>
        <w:rPr>
          <w:rFonts w:ascii="Georgia" w:hAnsi="Georgia"/>
          <w:b/>
          <w:i w:val="0"/>
          <w:color w:val="141A2B"/>
          <w:sz w:val="21"/>
        </w:rPr>
        <w:t xml:space="preserve">5. On the name.  </w:t>
      </w:r>
      <w:r>
        <w:rPr>
          <w:rFonts w:ascii="Georgia" w:hAnsi="Georgia"/>
          <w:b w:val="0"/>
          <w:i w:val="0"/>
          <w:color w:val="3A3A4A"/>
          <w:sz w:val="21"/>
        </w:rPr>
        <w:t xml:space="preserve">A precipice is usually read as a warning: the edge of a cliff, the place you're told to step back from. This Charter uses the word on purpose for both halves of its meaning. The edge is where the fall happens — the diagnosis, the denied claim, the custody hearing, the week that finally breaks a family. </w:t>
      </w:r>
      <w:r>
        <w:rPr>
          <w:rFonts w:ascii="Georgia" w:hAnsi="Georgia"/>
          <w:b/>
          <w:i w:val="0"/>
          <w:color w:val="141A2B"/>
          <w:sz w:val="21"/>
        </w:rPr>
        <w:t xml:space="preserve">It is also the only place a leap is possible.  </w:t>
      </w:r>
      <w:r>
        <w:rPr>
          <w:rFonts w:ascii="Georgia" w:hAnsi="Georgia"/>
          <w:b w:val="0"/>
          <w:i w:val="0"/>
          <w:color w:val="3A3A4A"/>
          <w:sz w:val="21"/>
        </w:rPr>
        <w:t>Every product we build meets someone at exactly that point, not before it and not after — and works to make sure the leap, not the fall, is what happens next.</w:t>
      </w:r>
    </w:p>
    <w:p>
      <w:pPr>
        <w:spacing w:before="360" w:after="60"/>
      </w:pPr>
      <w:r>
        <w:rPr>
          <w:rFonts w:ascii="Consolas" w:hAnsi="Consolas"/>
          <w:b/>
          <w:i w:val="0"/>
          <w:color w:val="B45309"/>
          <w:sz w:val="17"/>
          <w:caps w:val="1"/>
          <w:spacing w:val="36"/>
        </w:rPr>
        <w:t>Article II</w:t>
      </w:r>
    </w:p>
    <w:p>
      <w:pPr>
        <w:spacing w:after="120"/>
      </w:pPr>
      <w:r>
        <w:rPr>
          <w:rFonts w:ascii="Georgia" w:hAnsi="Georgia"/>
          <w:b w:val="0"/>
          <w:i w:val="0"/>
          <w:color w:val="141A2B"/>
          <w:sz w:val="36"/>
        </w:rPr>
        <w:t>The Covenant of Practice</w:t>
      </w:r>
    </w:p>
    <w:p>
      <w:pPr>
        <w:spacing w:after="160" w:line="336" w:lineRule="auto"/>
      </w:pPr>
      <w:r>
        <w:rPr>
          <w:rFonts w:ascii="Georgia" w:hAnsi="Georgia"/>
          <w:b w:val="0"/>
          <w:i w:val="0"/>
          <w:color w:val="3A3A4A"/>
          <w:sz w:val="21"/>
        </w:rPr>
        <w:t xml:space="preserve">Every Precipice product, feature, partnership, and policy must pass five tests. These are not themes for marketing. They are decision rules. </w:t>
      </w:r>
      <w:r>
        <w:rPr>
          <w:rFonts w:ascii="Georgia" w:hAnsi="Georgia"/>
          <w:b/>
          <w:i w:val="0"/>
          <w:color w:val="141A2B"/>
          <w:sz w:val="21"/>
        </w:rPr>
        <w:t>When two legitimate interests conflict, the principle named first carries the presumption.</w:t>
      </w:r>
    </w:p>
    <w:p>
      <w:pPr>
        <w:spacing w:before="160" w:after="80"/>
      </w:pPr>
      <w:r>
        <w:rPr>
          <w:rFonts w:ascii="Consolas" w:hAnsi="Consolas"/>
          <w:b/>
          <w:i w:val="0"/>
          <w:color w:val="B45309"/>
          <w:sz w:val="20"/>
        </w:rPr>
        <w:t xml:space="preserve">01  ·  </w:t>
      </w:r>
      <w:r>
        <w:rPr>
          <w:rFonts w:ascii="Georgia" w:hAnsi="Georgia"/>
          <w:b/>
          <w:i w:val="0"/>
          <w:color w:val="141A2B"/>
          <w:sz w:val="25"/>
        </w:rPr>
        <w:t>Evidence Over Assumption.</w:t>
      </w:r>
    </w:p>
    <w:p>
      <w:pPr>
        <w:spacing w:after="120" w:line="348" w:lineRule="auto"/>
      </w:pPr>
      <w:r>
        <w:rPr>
          <w:rFonts w:ascii="Georgia" w:hAnsi="Georgia"/>
          <w:b w:val="0"/>
          <w:i w:val="0"/>
          <w:color w:val="3A3A4A"/>
          <w:sz w:val="21"/>
        </w:rPr>
        <w:t>We build so people can discover, organize, and communicate what is actually happening in their lives. We distinguish observation from inference, correlation from causation, and assistance from authority. We do not manufacture certainty to make a product feel impressive. Invisible suffering does not stay invisible because it is rare. It stays invisible because no one built a way to prove it. We give people something to point to.</w:t>
      </w:r>
    </w:p>
    <w:p>
      <w:pPr>
        <w:spacing w:before="160" w:after="80"/>
      </w:pPr>
      <w:r>
        <w:rPr>
          <w:rFonts w:ascii="Consolas" w:hAnsi="Consolas"/>
          <w:b/>
          <w:i w:val="0"/>
          <w:color w:val="B45309"/>
          <w:sz w:val="20"/>
        </w:rPr>
        <w:t xml:space="preserve">02  ·  </w:t>
      </w:r>
      <w:r>
        <w:rPr>
          <w:rFonts w:ascii="Georgia" w:hAnsi="Georgia"/>
          <w:b/>
          <w:i w:val="0"/>
          <w:color w:val="141A2B"/>
          <w:sz w:val="25"/>
        </w:rPr>
        <w:t>Dignity Over Diagnosis.</w:t>
      </w:r>
    </w:p>
    <w:p>
      <w:pPr>
        <w:spacing w:after="120" w:line="348" w:lineRule="auto"/>
      </w:pPr>
      <w:r>
        <w:rPr>
          <w:rFonts w:ascii="Georgia" w:hAnsi="Georgia"/>
          <w:b w:val="0"/>
          <w:i w:val="0"/>
          <w:color w:val="3A3A4A"/>
          <w:sz w:val="21"/>
        </w:rPr>
        <w:t>A person is never reducible to a condition, claim, score, ideology, household role, purchasing profile, or predicted behavior. A veteran is not their claim. A child is not their trauma. A single parent is not their overwhelm. Design must expand agency rather than reward shame, fear, dependency, or dehumanizing labels.</w:t>
      </w:r>
    </w:p>
    <w:p>
      <w:pPr>
        <w:spacing w:before="160" w:after="80"/>
      </w:pPr>
      <w:r>
        <w:rPr>
          <w:rFonts w:ascii="Consolas" w:hAnsi="Consolas"/>
          <w:b/>
          <w:i w:val="0"/>
          <w:color w:val="B45309"/>
          <w:sz w:val="20"/>
        </w:rPr>
        <w:t xml:space="preserve">03  ·  </w:t>
      </w:r>
      <w:r>
        <w:rPr>
          <w:rFonts w:ascii="Georgia" w:hAnsi="Georgia"/>
          <w:b/>
          <w:i w:val="0"/>
          <w:color w:val="141A2B"/>
          <w:sz w:val="25"/>
        </w:rPr>
        <w:t>Stewardship Over Extraction.</w:t>
      </w:r>
    </w:p>
    <w:p>
      <w:pPr>
        <w:spacing w:after="120" w:line="348" w:lineRule="auto"/>
      </w:pPr>
      <w:r>
        <w:rPr>
          <w:rFonts w:ascii="Georgia" w:hAnsi="Georgia"/>
          <w:b w:val="0"/>
          <w:i w:val="0"/>
          <w:color w:val="3A3A4A"/>
          <w:sz w:val="21"/>
        </w:rPr>
        <w:t>Personal data is entrusted, not captured. We collect only what serves a declared purpose; protect it throughout its life; make access and correction understandable; and refuse business models that depend on selling, brokering, or exploiting the private lives of the people we serve.</w:t>
      </w:r>
    </w:p>
    <w:p>
      <w:pPr>
        <w:spacing w:before="160" w:after="80"/>
      </w:pPr>
      <w:r>
        <w:rPr>
          <w:rFonts w:ascii="Consolas" w:hAnsi="Consolas"/>
          <w:b/>
          <w:i w:val="0"/>
          <w:color w:val="B45309"/>
          <w:sz w:val="20"/>
        </w:rPr>
        <w:t xml:space="preserve">04  ·  </w:t>
      </w:r>
      <w:r>
        <w:rPr>
          <w:rFonts w:ascii="Georgia" w:hAnsi="Georgia"/>
          <w:b/>
          <w:i w:val="0"/>
          <w:color w:val="141A2B"/>
          <w:sz w:val="25"/>
        </w:rPr>
        <w:t>Presence Over Performance.</w:t>
      </w:r>
    </w:p>
    <w:p>
      <w:pPr>
        <w:spacing w:after="120" w:line="348" w:lineRule="auto"/>
      </w:pPr>
      <w:r>
        <w:rPr>
          <w:rFonts w:ascii="Georgia" w:hAnsi="Georgia"/>
          <w:b w:val="0"/>
          <w:i w:val="0"/>
          <w:color w:val="3A3A4A"/>
          <w:sz w:val="21"/>
        </w:rPr>
        <w:t>A lighthouse doesn't calm the sea or rescue the ship. It stands, and it shines, so people navigating in the dark have something steady to hold onto until morning. Our products are built to be that kind of presence — quiet, competent, and there before you have to ask — rather than a performance of caring that disappears the moment it is inconvenient. Time spent is not our measure of human value. We do not design compulsive loops. A successful product may help someone close the screen, speak more clearly, rest, seek qualified help, make a decision, or return to life.</w:t>
      </w:r>
    </w:p>
    <w:p>
      <w:pPr>
        <w:spacing w:before="160" w:after="80"/>
      </w:pPr>
      <w:r>
        <w:rPr>
          <w:rFonts w:ascii="Consolas" w:hAnsi="Consolas"/>
          <w:b/>
          <w:i w:val="0"/>
          <w:color w:val="B45309"/>
          <w:sz w:val="20"/>
        </w:rPr>
        <w:t xml:space="preserve">05  ·  </w:t>
      </w:r>
      <w:r>
        <w:rPr>
          <w:rFonts w:ascii="Georgia" w:hAnsi="Georgia"/>
          <w:b/>
          <w:i w:val="0"/>
          <w:color w:val="141A2B"/>
          <w:sz w:val="25"/>
        </w:rPr>
        <w:t>Endurance Over Acceleration.</w:t>
      </w:r>
    </w:p>
    <w:p>
      <w:pPr>
        <w:spacing w:after="120" w:line="348" w:lineRule="auto"/>
      </w:pPr>
      <w:r>
        <w:rPr>
          <w:rFonts w:ascii="Georgia" w:hAnsi="Georgia"/>
          <w:b w:val="0"/>
          <w:i w:val="0"/>
          <w:color w:val="3A3A4A"/>
          <w:sz w:val="21"/>
        </w:rPr>
        <w:t>We choose the pace at which care, security, support, and truth can be sustained. Growth is welcome only when the institution carrying it can keep faith with the people already inside. Delay is preferable to preventable harm. Slow is a feature when slowness protects trust.</w:t>
      </w:r>
    </w:p>
    <w:tbl>
      <w:tblPr>
        <w:tblW w:type="auto" w:w="0"/>
        <w:tblLayout w:type="fixed"/>
        <w:tblLook w:firstColumn="1" w:firstRow="1" w:lastColumn="0" w:lastRow="0" w:noHBand="0" w:noVBand="1" w:val="04A0"/>
      </w:tblPr>
      <w:tblGrid>
        <w:gridCol w:w="8787"/>
      </w:tblGrid>
      <w:tr>
        <w:tc>
          <w:tcPr>
            <w:tcW w:type="dxa" w:w="8787"/>
            <w:shd w:val="clear" w:color="auto" w:fill="141A2B"/>
            <w:tcMar>
              <w:top w:w="220" w:type="dxa"/>
              <w:left w:w="240" w:type="dxa"/>
              <w:bottom w:w="220" w:type="dxa"/>
              <w:right w:w="240" w:type="dxa"/>
            </w:tcMar>
          </w:tcPr>
          <w:p>
            <w:pPr>
              <w:spacing w:after="120"/>
            </w:pPr>
            <w:r>
              <w:rPr>
                <w:rFonts w:ascii="Consolas" w:hAnsi="Consolas"/>
                <w:b/>
                <w:i w:val="0"/>
                <w:color w:val="F59E0B"/>
                <w:sz w:val="18"/>
                <w:caps w:val="1"/>
                <w:spacing w:val="48"/>
              </w:rPr>
              <w:t>The Three Nevers</w:t>
            </w:r>
          </w:p>
          <w:p>
            <w:pPr>
              <w:spacing w:after="120" w:line="348" w:lineRule="auto"/>
            </w:pPr>
            <w:r>
              <w:rPr>
                <w:rFonts w:ascii="Georgia" w:hAnsi="Georgia"/>
                <w:b/>
                <w:i w:val="0"/>
                <w:color w:val="FFFFFF"/>
                <w:sz w:val="21"/>
              </w:rPr>
              <w:t xml:space="preserve">Never sold. </w:t>
            </w:r>
            <w:r>
              <w:rPr>
                <w:rFonts w:ascii="Georgia" w:hAnsi="Georgia"/>
                <w:b w:val="0"/>
                <w:i w:val="0"/>
                <w:color w:val="D9D3C2"/>
                <w:sz w:val="21"/>
              </w:rPr>
              <w:t>Personal data is not merchandise. Not to advertisers, not to data brokers, not to anyone. Ever.</w:t>
            </w:r>
          </w:p>
          <w:p>
            <w:pPr>
              <w:spacing w:after="120" w:line="348" w:lineRule="auto"/>
            </w:pPr>
            <w:r>
              <w:rPr>
                <w:rFonts w:ascii="Georgia" w:hAnsi="Georgia"/>
                <w:b/>
                <w:i w:val="0"/>
                <w:color w:val="FFFFFF"/>
                <w:sz w:val="21"/>
              </w:rPr>
              <w:t xml:space="preserve">Never trained on. </w:t>
            </w:r>
            <w:r>
              <w:rPr>
                <w:rFonts w:ascii="Georgia" w:hAnsi="Georgia"/>
                <w:b w:val="0"/>
                <w:i w:val="0"/>
                <w:color w:val="D9D3C2"/>
                <w:sz w:val="21"/>
              </w:rPr>
              <w:t>Memories, reflections, and health data are not raw material for AI models — ours or anyone else's.</w:t>
            </w:r>
          </w:p>
          <w:p>
            <w:pPr>
              <w:spacing w:after="120" w:line="348" w:lineRule="auto"/>
            </w:pPr>
            <w:r>
              <w:rPr>
                <w:rFonts w:ascii="Georgia" w:hAnsi="Georgia"/>
                <w:b/>
                <w:i w:val="0"/>
                <w:color w:val="FFFFFF"/>
                <w:sz w:val="21"/>
              </w:rPr>
              <w:t xml:space="preserve">Never rushed past the point of responsible care. </w:t>
            </w:r>
            <w:r>
              <w:rPr>
                <w:rFonts w:ascii="Georgia" w:hAnsi="Georgia"/>
                <w:b w:val="0"/>
                <w:i w:val="0"/>
                <w:color w:val="D9D3C2"/>
                <w:sz w:val="21"/>
              </w:rPr>
              <w:t>No release, no partnership, no growth target is permitted to override the care standard the person on the other end deserves.</w:t>
            </w:r>
          </w:p>
        </w:tc>
      </w:tr>
    </w:tbl>
    <w:p/>
    <w:tbl>
      <w:tblPr>
        <w:tblW w:type="auto" w:w="0"/>
        <w:tblLayout w:type="fixed"/>
        <w:tblLook w:firstColumn="1" w:firstRow="1" w:lastColumn="0" w:lastRow="0" w:noHBand="0" w:noVBand="1" w:val="04A0"/>
      </w:tblPr>
      <w:tblGrid>
        <w:gridCol w:w="8787"/>
      </w:tblGrid>
      <w:tr>
        <w:tc>
          <w:tcPr>
            <w:tcW w:type="dxa" w:w="8787"/>
            <w:shd w:val="clear" w:color="auto" w:fill="0F5C56"/>
            <w:tcMar>
              <w:top w:w="200" w:type="dxa"/>
              <w:left w:w="260" w:type="dxa"/>
              <w:bottom w:w="200" w:type="dxa"/>
              <w:right w:w="260" w:type="dxa"/>
            </w:tcMar>
          </w:tcPr>
          <w:p>
            <w:pPr>
              <w:spacing w:after="80"/>
            </w:pPr>
            <w:r>
              <w:rPr>
                <w:rFonts w:ascii="Consolas" w:hAnsi="Consolas"/>
                <w:b/>
                <w:i w:val="0"/>
                <w:color w:val="7BD7CF"/>
                <w:sz w:val="18"/>
                <w:caps w:val="1"/>
                <w:spacing w:val="44"/>
              </w:rPr>
              <w:t>The Founding Guarantee</w:t>
            </w:r>
          </w:p>
          <w:p>
            <w:pPr>
              <w:spacing w:after="80"/>
            </w:pPr>
            <w:r>
              <w:rPr>
                <w:rFonts w:ascii="Georgia" w:hAnsi="Georgia"/>
                <w:b/>
                <w:i w:val="0"/>
                <w:color w:val="FFFFFF"/>
                <w:sz w:val="28"/>
              </w:rPr>
              <w:t>We succeed when you don't need us anymore.</w:t>
            </w:r>
          </w:p>
          <w:p>
            <w:pPr>
              <w:spacing w:line="360" w:lineRule="auto"/>
            </w:pPr>
            <w:r>
              <w:rPr>
                <w:rFonts w:ascii="Georgia" w:hAnsi="Georgia"/>
                <w:b w:val="0"/>
                <w:i w:val="0"/>
                <w:color w:val="D9E4E2"/>
                <w:sz w:val="21"/>
              </w:rPr>
              <w:t xml:space="preserve">Our incentives are inverted from the industry norm on purpose. We do not win when someone stays on the app longer. We win when a claim is granted, a family finds its footing, a child feels safe, two people find each other and go build a life that no longer needs our help to navigate.  </w:t>
            </w:r>
            <w:r>
              <w:rPr>
                <w:rFonts w:ascii="Georgia" w:hAnsi="Georgia"/>
                <w:b/>
                <w:i w:val="0"/>
                <w:color w:val="7BD7CF"/>
                <w:sz w:val="21"/>
              </w:rPr>
              <w:t>Independence is the product.</w:t>
            </w:r>
          </w:p>
        </w:tc>
      </w:tr>
    </w:tbl>
    <w:p/>
    <w:p>
      <w:pPr>
        <w:spacing w:before="360" w:after="60"/>
      </w:pPr>
      <w:r>
        <w:rPr>
          <w:rFonts w:ascii="Consolas" w:hAnsi="Consolas"/>
          <w:b/>
          <w:i w:val="0"/>
          <w:color w:val="B45309"/>
          <w:sz w:val="17"/>
          <w:caps w:val="1"/>
          <w:spacing w:val="36"/>
        </w:rPr>
        <w:t>Article III</w:t>
      </w:r>
    </w:p>
    <w:p>
      <w:pPr>
        <w:spacing w:after="120"/>
      </w:pPr>
      <w:r>
        <w:rPr>
          <w:rFonts w:ascii="Georgia" w:hAnsi="Georgia"/>
          <w:b w:val="0"/>
          <w:i w:val="0"/>
          <w:color w:val="141A2B"/>
          <w:sz w:val="36"/>
        </w:rPr>
        <w:t>One House, Many Doors</w:t>
      </w:r>
    </w:p>
    <w:p>
      <w:pPr>
        <w:spacing w:after="160" w:line="336" w:lineRule="auto"/>
      </w:pPr>
      <w:r>
        <w:rPr>
          <w:rFonts w:ascii="Georgia" w:hAnsi="Georgia"/>
          <w:b w:val="0"/>
          <w:i w:val="0"/>
          <w:color w:val="3A3A4A"/>
          <w:sz w:val="21"/>
        </w:rPr>
        <w:t xml:space="preserve">The present portfolio includes nine doors into one mission: </w:t>
      </w:r>
      <w:r>
        <w:rPr>
          <w:rFonts w:ascii="Georgia" w:hAnsi="Georgia"/>
          <w:b/>
          <w:i w:val="0"/>
          <w:color w:val="141A2B"/>
          <w:sz w:val="21"/>
        </w:rPr>
        <w:t xml:space="preserve">Migraine Data Detective, The Well, LifeOS, Evident, Lighthouse, Mirror, Kindred, BookNookExchange, </w:t>
      </w:r>
      <w:r>
        <w:rPr>
          <w:rFonts w:ascii="Georgia" w:hAnsi="Georgia"/>
          <w:b w:val="0"/>
          <w:i w:val="0"/>
          <w:color w:val="3A3A4A"/>
          <w:sz w:val="21"/>
        </w:rPr>
        <w:t xml:space="preserve">and </w:t>
      </w:r>
      <w:r>
        <w:rPr>
          <w:rFonts w:ascii="Georgia" w:hAnsi="Georgia"/>
          <w:b/>
          <w:i w:val="0"/>
          <w:color w:val="141A2B"/>
          <w:sz w:val="21"/>
        </w:rPr>
        <w:t xml:space="preserve">MemIQ. </w:t>
      </w:r>
      <w:r>
        <w:rPr>
          <w:rFonts w:ascii="Georgia" w:hAnsi="Georgia"/>
          <w:b w:val="0"/>
          <w:i w:val="0"/>
          <w:color w:val="3A3A4A"/>
          <w:sz w:val="21"/>
        </w:rPr>
        <w:t>Each addresses a different human circumstance; none is exempt from the same Covenant.</w:t>
      </w:r>
    </w:p>
    <w:p>
      <w:pPr>
        <w:spacing w:after="160" w:line="336" w:lineRule="auto"/>
      </w:pPr>
      <w:r>
        <w:rPr>
          <w:rFonts w:ascii="Georgia" w:hAnsi="Georgia"/>
          <w:b w:val="0"/>
          <w:i w:val="0"/>
          <w:color w:val="3A3A4A"/>
          <w:sz w:val="21"/>
        </w:rPr>
        <w:t>The portfolio is mutually supportive by design. A product that becomes stable may help finance, inform, or strengthen the next. Shared infrastructure may reduce cost and improve protection — but data will not be silently pooled simply because products share a parent company. Connection between products must be purposeful, disclosed, permissioned, reversible where feasible, and beneficial to the person — not merely convenient to Precipice Health.</w:t>
      </w:r>
    </w:p>
    <w:p>
      <w:pPr>
        <w:spacing w:after="160" w:line="336" w:lineRule="auto"/>
      </w:pPr>
      <w:r>
        <w:rPr>
          <w:rFonts w:ascii="Georgia" w:hAnsi="Georgia"/>
          <w:b w:val="0"/>
          <w:i w:val="0"/>
          <w:color w:val="3A3A4A"/>
          <w:sz w:val="21"/>
        </w:rPr>
        <w:t>The number and names of products may change. The mission may not. A proposed product belongs in this house only if it advances human evidence, dignity, understanding, stewardship, or durable connection; can be supported responsibly; and does not require abandonment of this Charter to succeed.</w:t>
      </w:r>
    </w:p>
    <w:p>
      <w:pPr>
        <w:spacing w:before="360" w:after="60"/>
      </w:pPr>
      <w:r>
        <w:rPr>
          <w:rFonts w:ascii="Consolas" w:hAnsi="Consolas"/>
          <w:b/>
          <w:i w:val="0"/>
          <w:color w:val="B45309"/>
          <w:sz w:val="17"/>
          <w:caps w:val="1"/>
          <w:spacing w:val="36"/>
        </w:rPr>
        <w:t>Article IV</w:t>
      </w:r>
    </w:p>
    <w:p>
      <w:pPr>
        <w:spacing w:after="120"/>
      </w:pPr>
      <w:r>
        <w:rPr>
          <w:rFonts w:ascii="Georgia" w:hAnsi="Georgia"/>
          <w:b w:val="0"/>
          <w:i w:val="0"/>
          <w:color w:val="141A2B"/>
          <w:sz w:val="36"/>
        </w:rPr>
        <w:t>The Movement and Its Watchkeepers</w:t>
      </w:r>
    </w:p>
    <w:p>
      <w:pPr>
        <w:spacing w:after="160" w:line="336" w:lineRule="auto"/>
      </w:pPr>
      <w:r>
        <w:rPr>
          <w:rFonts w:ascii="Georgia" w:hAnsi="Georgia"/>
          <w:b w:val="0"/>
          <w:i w:val="0"/>
          <w:color w:val="3A3A4A"/>
          <w:sz w:val="21"/>
        </w:rPr>
        <w:t xml:space="preserve">The Precipice is carried by people who choose to stand a post. We call them </w:t>
      </w:r>
      <w:r>
        <w:rPr>
          <w:rFonts w:ascii="Georgia" w:hAnsi="Georgia"/>
          <w:b/>
          <w:i w:val="0"/>
          <w:color w:val="141A2B"/>
          <w:sz w:val="21"/>
        </w:rPr>
        <w:t xml:space="preserve">Watchkeepers </w:t>
      </w:r>
      <w:r>
        <w:rPr>
          <w:rFonts w:ascii="Georgia" w:hAnsi="Georgia"/>
          <w:b w:val="0"/>
          <w:i w:val="0"/>
          <w:color w:val="3A3A4A"/>
          <w:sz w:val="21"/>
        </w:rPr>
        <w:t>— not because they guard a brand, but because they serve as witnesses, contributors, and guardians of the Covenant: watching for drift, making the work stronger, extending its reach, and reminding the steward whom the work is meant to serve. Their guardianship creates standing to raise concerns and seek an honest response; it does not create a right to command staff, bind Precipice Health, control products, or override the lawful responsibilities of company leadership.</w:t>
      </w:r>
    </w:p>
    <w:p>
      <w:pPr>
        <w:spacing w:after="160" w:line="336" w:lineRule="auto"/>
      </w:pPr>
      <w:r>
        <w:rPr>
          <w:rFonts w:ascii="Georgia" w:hAnsi="Georgia"/>
          <w:b/>
          <w:i w:val="0"/>
          <w:color w:val="141A2B"/>
          <w:sz w:val="21"/>
        </w:rPr>
        <w:t xml:space="preserve">Who may stand a post.  </w:t>
      </w:r>
      <w:r>
        <w:rPr>
          <w:rFonts w:ascii="Georgia" w:hAnsi="Georgia"/>
          <w:b w:val="0"/>
          <w:i w:val="0"/>
          <w:color w:val="3A3A4A"/>
          <w:sz w:val="21"/>
        </w:rPr>
        <w:t>A Watchkeeper may be a user, caregiver, veteran, clinician, educator, designer, engineer, writer, organizer, donor, community leader, business, or institution. No title, wealth, credential, political identity, diagnosis, or purchase is required. What is required is alignment with the mission and respect for the dignity and privacy of those the movement serves.</w:t>
      </w:r>
    </w:p>
    <w:p>
      <w:pPr>
        <w:spacing w:after="80" w:line="336" w:lineRule="auto"/>
      </w:pPr>
      <w:r>
        <w:rPr>
          <w:rFonts w:ascii="Georgia" w:hAnsi="Georgia"/>
          <w:b/>
          <w:i w:val="0"/>
          <w:color w:val="B45309"/>
          <w:sz w:val="21"/>
        </w:rPr>
        <w:t xml:space="preserve">Time.  </w:t>
      </w:r>
      <w:r>
        <w:rPr>
          <w:rFonts w:ascii="Georgia" w:hAnsi="Georgia"/>
          <w:b w:val="0"/>
          <w:i w:val="0"/>
          <w:color w:val="3A3A4A"/>
          <w:sz w:val="21"/>
        </w:rPr>
        <w:t>Test, listen, welcome, convene, document, and help the movement remain close to lived reality.</w:t>
      </w:r>
    </w:p>
    <w:p>
      <w:pPr>
        <w:spacing w:after="80" w:line="336" w:lineRule="auto"/>
      </w:pPr>
      <w:r>
        <w:rPr>
          <w:rFonts w:ascii="Georgia" w:hAnsi="Georgia"/>
          <w:b/>
          <w:i w:val="0"/>
          <w:color w:val="B45309"/>
          <w:sz w:val="21"/>
        </w:rPr>
        <w:t xml:space="preserve">Talent.  </w:t>
      </w:r>
      <w:r>
        <w:rPr>
          <w:rFonts w:ascii="Georgia" w:hAnsi="Georgia"/>
          <w:b w:val="0"/>
          <w:i w:val="0"/>
          <w:color w:val="3A3A4A"/>
          <w:sz w:val="21"/>
        </w:rPr>
        <w:t>Contribute craft, knowledge, critique, research, storytelling, or institutional experience — without displacing the voices closest to the problem.</w:t>
      </w:r>
    </w:p>
    <w:p>
      <w:pPr>
        <w:spacing w:after="80" w:line="336" w:lineRule="auto"/>
      </w:pPr>
      <w:r>
        <w:rPr>
          <w:rFonts w:ascii="Georgia" w:hAnsi="Georgia"/>
          <w:b/>
          <w:i w:val="0"/>
          <w:color w:val="B45309"/>
          <w:sz w:val="21"/>
        </w:rPr>
        <w:t xml:space="preserve">Treasure.  </w:t>
      </w:r>
      <w:r>
        <w:rPr>
          <w:rFonts w:ascii="Georgia" w:hAnsi="Georgia"/>
          <w:b w:val="0"/>
          <w:i w:val="0"/>
          <w:color w:val="3A3A4A"/>
          <w:sz w:val="21"/>
        </w:rPr>
        <w:t>Financial or material support given transparently through the public Open Collective ledger. Generosity may accelerate service; it may not buy moral ownership.</w:t>
      </w:r>
    </w:p>
    <w:p>
      <w:pPr>
        <w:spacing w:after="200" w:line="336" w:lineRule="auto"/>
      </w:pPr>
      <w:r>
        <w:rPr>
          <w:rFonts w:ascii="Georgia" w:hAnsi="Georgia"/>
          <w:b/>
          <w:i w:val="0"/>
          <w:color w:val="141A2B"/>
          <w:sz w:val="21"/>
        </w:rPr>
        <w:t xml:space="preserve">No contribution — of Time, Talent, or Treasure — earns preferential access, private updates, private time with the founder, or elevated status.  </w:t>
      </w:r>
      <w:r>
        <w:rPr>
          <w:rFonts w:ascii="Georgia" w:hAnsi="Georgia"/>
          <w:b w:val="0"/>
          <w:i/>
          <w:color w:val="3A3A4A"/>
          <w:sz w:val="21"/>
        </w:rPr>
        <w:t>Everyone who serves the mission serves it equally. This is why The Precipice will exist regardless of any contribution: the work is called for, not paid for.</w:t>
      </w:r>
    </w:p>
    <w:p>
      <w:pPr>
        <w:spacing w:after="40" w:line="336" w:lineRule="auto"/>
      </w:pPr>
      <w:r>
        <w:rPr>
          <w:rFonts w:ascii="Georgia" w:hAnsi="Georgia"/>
          <w:b/>
          <w:i w:val="0"/>
          <w:color w:val="141A2B"/>
          <w:sz w:val="21"/>
        </w:rPr>
        <w:t>Rights of Watchkeepers.</w:t>
      </w:r>
    </w:p>
    <w:p>
      <w:pPr>
        <w:pStyle w:val="ListBullet"/>
        <w:spacing w:after="60" w:line="336" w:lineRule="auto"/>
      </w:pPr>
      <w:r>
        <w:rPr>
          <w:rFonts w:ascii="Georgia" w:hAnsi="Georgia"/>
          <w:b w:val="0"/>
          <w:i w:val="0"/>
          <w:color w:val="3A3A4A"/>
          <w:sz w:val="21"/>
        </w:rPr>
        <w:t>To receive honest descriptions of what exists, what is planned, what has changed, and what remains uncertain.</w:t>
      </w:r>
    </w:p>
    <w:p>
      <w:pPr>
        <w:pStyle w:val="ListBullet"/>
        <w:spacing w:after="60" w:line="336" w:lineRule="auto"/>
      </w:pPr>
      <w:r>
        <w:rPr>
          <w:rFonts w:ascii="Georgia" w:hAnsi="Georgia"/>
          <w:b w:val="0"/>
          <w:i w:val="0"/>
          <w:color w:val="3A3A4A"/>
          <w:sz w:val="21"/>
        </w:rPr>
        <w:t>To question decisions, identify mission drift, and offer criticism without being treated as disloyal.</w:t>
      </w:r>
    </w:p>
    <w:p>
      <w:pPr>
        <w:pStyle w:val="ListBullet"/>
        <w:spacing w:after="60" w:line="336" w:lineRule="auto"/>
      </w:pPr>
      <w:r>
        <w:rPr>
          <w:rFonts w:ascii="Georgia" w:hAnsi="Georgia"/>
          <w:b w:val="0"/>
          <w:i w:val="0"/>
          <w:color w:val="3A3A4A"/>
          <w:sz w:val="21"/>
        </w:rPr>
        <w:t>To see how contributed resources are used, in the same public accounting available to everyone.</w:t>
      </w:r>
    </w:p>
    <w:p>
      <w:pPr>
        <w:pStyle w:val="ListBullet"/>
        <w:spacing w:after="60" w:line="336" w:lineRule="auto"/>
      </w:pPr>
      <w:r>
        <w:rPr>
          <w:rFonts w:ascii="Georgia" w:hAnsi="Georgia"/>
          <w:b w:val="0"/>
          <w:i w:val="0"/>
          <w:color w:val="3A3A4A"/>
          <w:sz w:val="21"/>
        </w:rPr>
        <w:t>To withdraw participation without coercion, public shaming, or loss of rights attached to their own data.</w:t>
      </w:r>
    </w:p>
    <w:p>
      <w:pPr>
        <w:spacing w:after="40" w:line="336" w:lineRule="auto"/>
      </w:pPr>
      <w:r>
        <w:rPr>
          <w:rFonts w:ascii="Georgia" w:hAnsi="Georgia"/>
          <w:b/>
          <w:i w:val="0"/>
          <w:color w:val="141A2B"/>
          <w:sz w:val="21"/>
        </w:rPr>
        <w:t>Responsibilities of Watchkeepers.</w:t>
      </w:r>
    </w:p>
    <w:p>
      <w:pPr>
        <w:pStyle w:val="ListBullet"/>
        <w:spacing w:after="60" w:line="336" w:lineRule="auto"/>
      </w:pPr>
      <w:r>
        <w:rPr>
          <w:rFonts w:ascii="Georgia" w:hAnsi="Georgia"/>
          <w:b w:val="0"/>
          <w:i w:val="0"/>
          <w:color w:val="3A3A4A"/>
          <w:sz w:val="21"/>
        </w:rPr>
        <w:t>Protect confidentiality; do not turn access to another person's story into status, content, leverage, or gossip.</w:t>
      </w:r>
    </w:p>
    <w:p>
      <w:pPr>
        <w:pStyle w:val="ListBullet"/>
        <w:spacing w:after="60" w:line="336" w:lineRule="auto"/>
      </w:pPr>
      <w:r>
        <w:rPr>
          <w:rFonts w:ascii="Georgia" w:hAnsi="Georgia"/>
          <w:b w:val="0"/>
          <w:i w:val="0"/>
          <w:color w:val="3A3A4A"/>
          <w:sz w:val="21"/>
        </w:rPr>
        <w:t>Distinguish personal experience from clinical, legal, financial, or other professional authority.</w:t>
      </w:r>
    </w:p>
    <w:p>
      <w:pPr>
        <w:pStyle w:val="ListBullet"/>
        <w:spacing w:after="60" w:line="336" w:lineRule="auto"/>
      </w:pPr>
      <w:r>
        <w:rPr>
          <w:rFonts w:ascii="Georgia" w:hAnsi="Georgia"/>
          <w:b w:val="0"/>
          <w:i w:val="0"/>
          <w:color w:val="3A3A4A"/>
          <w:sz w:val="21"/>
        </w:rPr>
        <w:t>Make room for disagreement, correction, and learning while refusing dehumanization and bad-faith harm.</w:t>
      </w:r>
    </w:p>
    <w:p>
      <w:pPr>
        <w:pStyle w:val="ListBullet"/>
        <w:spacing w:after="60" w:line="336" w:lineRule="auto"/>
      </w:pPr>
      <w:r>
        <w:rPr>
          <w:rFonts w:ascii="Georgia" w:hAnsi="Georgia"/>
          <w:b w:val="0"/>
          <w:i w:val="0"/>
          <w:color w:val="3A3A4A"/>
          <w:sz w:val="21"/>
        </w:rPr>
        <w:t>Serve the mission rather than seeking control of the movement through money, audience, title, or proximity to the founder.</w:t>
      </w:r>
    </w:p>
    <w:p>
      <w:pPr>
        <w:spacing w:before="360" w:after="60"/>
      </w:pPr>
      <w:r>
        <w:rPr>
          <w:rFonts w:ascii="Consolas" w:hAnsi="Consolas"/>
          <w:b/>
          <w:i w:val="0"/>
          <w:color w:val="B45309"/>
          <w:sz w:val="17"/>
          <w:caps w:val="1"/>
          <w:spacing w:val="36"/>
        </w:rPr>
        <w:t>Article V</w:t>
      </w:r>
    </w:p>
    <w:p>
      <w:pPr>
        <w:spacing w:after="120"/>
      </w:pPr>
      <w:r>
        <w:rPr>
          <w:rFonts w:ascii="Georgia" w:hAnsi="Georgia"/>
          <w:b w:val="0"/>
          <w:i w:val="0"/>
          <w:color w:val="141A2B"/>
          <w:sz w:val="36"/>
        </w:rPr>
        <w:t>Independence and Partnership</w:t>
      </w:r>
    </w:p>
    <w:p>
      <w:pPr>
        <w:spacing w:after="160" w:line="336" w:lineRule="auto"/>
      </w:pPr>
      <w:r>
        <w:rPr>
          <w:rFonts w:ascii="Georgia" w:hAnsi="Georgia"/>
          <w:b w:val="0"/>
          <w:i w:val="0"/>
          <w:color w:val="3A3A4A"/>
          <w:sz w:val="21"/>
        </w:rPr>
        <w:t>The movement welcomes partnerships with communities, businesses, health systems, veteran-serving organizations, schools, libraries, researchers, and public institutions when those relationships advance the mission without converting people into inventory.</w:t>
      </w:r>
    </w:p>
    <w:p>
      <w:pPr>
        <w:spacing w:after="160" w:line="336" w:lineRule="auto"/>
      </w:pPr>
      <w:r>
        <w:rPr>
          <w:rFonts w:ascii="Georgia" w:hAnsi="Georgia"/>
          <w:b w:val="0"/>
          <w:i w:val="0"/>
          <w:color w:val="3A3A4A"/>
          <w:sz w:val="21"/>
        </w:rPr>
        <w:t xml:space="preserve">Precipice Health will </w:t>
      </w:r>
      <w:r>
        <w:rPr>
          <w:rFonts w:ascii="Georgia" w:hAnsi="Georgia"/>
          <w:b/>
          <w:i w:val="0"/>
          <w:color w:val="141A2B"/>
          <w:sz w:val="21"/>
        </w:rPr>
        <w:t xml:space="preserve">not </w:t>
      </w:r>
      <w:r>
        <w:rPr>
          <w:rFonts w:ascii="Georgia" w:hAnsi="Georgia"/>
          <w:b w:val="0"/>
          <w:i w:val="0"/>
          <w:color w:val="3A3A4A"/>
          <w:sz w:val="21"/>
        </w:rPr>
        <w:t>accept venture or corporate capital that transfers governing control, creates an obligation to extract value from personal data, or makes indefinite growth more important than durable service. Revenue, grants, gifts, sponsorships, and mission-aligned collaborations may be accepted only with terms that preserve product truth, user rights, editorial independence, and this Charter.</w:t>
      </w:r>
    </w:p>
    <w:p>
      <w:pPr>
        <w:spacing w:after="160" w:line="336" w:lineRule="auto"/>
      </w:pPr>
      <w:r>
        <w:rPr>
          <w:rFonts w:ascii="Georgia" w:hAnsi="Georgia"/>
          <w:b/>
          <w:i w:val="0"/>
          <w:color w:val="141A2B"/>
          <w:sz w:val="21"/>
        </w:rPr>
        <w:t>No partner receives exemption from the Covenant.</w:t>
      </w:r>
    </w:p>
    <w:p>
      <w:pPr>
        <w:spacing w:before="360" w:after="60"/>
      </w:pPr>
      <w:r>
        <w:rPr>
          <w:rFonts w:ascii="Consolas" w:hAnsi="Consolas"/>
          <w:b/>
          <w:i w:val="0"/>
          <w:color w:val="B45309"/>
          <w:sz w:val="17"/>
          <w:caps w:val="1"/>
          <w:spacing w:val="36"/>
        </w:rPr>
        <w:t>Article VI</w:t>
      </w:r>
    </w:p>
    <w:p>
      <w:pPr>
        <w:spacing w:after="120"/>
      </w:pPr>
      <w:r>
        <w:rPr>
          <w:rFonts w:ascii="Georgia" w:hAnsi="Georgia"/>
          <w:b w:val="0"/>
          <w:i w:val="0"/>
          <w:color w:val="141A2B"/>
          <w:sz w:val="36"/>
        </w:rPr>
        <w:t>The Builder's Restraint</w:t>
      </w:r>
    </w:p>
    <w:p>
      <w:pPr>
        <w:spacing w:after="160" w:line="336" w:lineRule="auto"/>
      </w:pPr>
      <w:r>
        <w:rPr>
          <w:rFonts w:ascii="Georgia" w:hAnsi="Georgia"/>
          <w:b w:val="0"/>
          <w:i w:val="0"/>
          <w:color w:val="3A3A4A"/>
          <w:sz w:val="21"/>
        </w:rPr>
        <w:t>Founding authority is a responsibility, not a private permission slip. As constituting authority, the Founder establishes and proclaims this Charter. Through Precipice Health, he may set vision, sequence the portfolio, protect coherence, and make final operating decisions while the company remains founder-led. Watchkeepers may witness, question, counsel, and call attention to departures; they do not exercise delegated signature or corporate management authority unless separately appointed in writing. Every form of authority exercised in the name of The Precipice is bound by this Charter.</w:t>
      </w:r>
    </w:p>
    <w:p>
      <w:pPr>
        <w:spacing w:after="160" w:line="336" w:lineRule="auto"/>
      </w:pPr>
      <w:r>
        <w:rPr>
          <w:rFonts w:ascii="Georgia" w:hAnsi="Georgia"/>
          <w:b w:val="0"/>
          <w:i w:val="0"/>
          <w:color w:val="3A3A4A"/>
          <w:sz w:val="21"/>
        </w:rPr>
        <w:t>The founder and every future leader shall:</w:t>
      </w:r>
    </w:p>
    <w:p>
      <w:pPr>
        <w:pStyle w:val="ListBullet"/>
        <w:spacing w:after="60" w:line="336" w:lineRule="auto"/>
      </w:pPr>
      <w:r>
        <w:rPr>
          <w:rFonts w:ascii="Georgia" w:hAnsi="Georgia"/>
          <w:b w:val="0"/>
          <w:i w:val="0"/>
          <w:color w:val="3A3A4A"/>
          <w:sz w:val="21"/>
        </w:rPr>
        <w:t>Tell the truth about capacity, readiness, limitations, evidence, automation, security, and risk — even when ambiguity would sell better.</w:t>
      </w:r>
    </w:p>
    <w:p>
      <w:pPr>
        <w:pStyle w:val="ListBullet"/>
        <w:spacing w:after="60" w:line="336" w:lineRule="auto"/>
      </w:pPr>
      <w:r>
        <w:rPr>
          <w:rFonts w:ascii="Georgia" w:hAnsi="Georgia"/>
          <w:b w:val="0"/>
          <w:i w:val="0"/>
          <w:color w:val="3A3A4A"/>
          <w:sz w:val="21"/>
        </w:rPr>
        <w:t>Separate aspiration from current capability, and public targets from promises.</w:t>
      </w:r>
    </w:p>
    <w:p>
      <w:pPr>
        <w:pStyle w:val="ListBullet"/>
        <w:spacing w:after="60" w:line="336" w:lineRule="auto"/>
      </w:pPr>
      <w:r>
        <w:rPr>
          <w:rFonts w:ascii="Georgia" w:hAnsi="Georgia"/>
          <w:b w:val="0"/>
          <w:i w:val="0"/>
          <w:color w:val="3A3A4A"/>
          <w:sz w:val="21"/>
        </w:rPr>
        <w:t>Decline revenue, growth, recognition, or partnership that requires treating people as means rather than ends.</w:t>
      </w:r>
    </w:p>
    <w:p>
      <w:pPr>
        <w:pStyle w:val="ListBullet"/>
        <w:spacing w:after="60" w:line="336" w:lineRule="auto"/>
      </w:pPr>
      <w:r>
        <w:rPr>
          <w:rFonts w:ascii="Georgia" w:hAnsi="Georgia"/>
          <w:b w:val="0"/>
          <w:i w:val="0"/>
          <w:color w:val="3A3A4A"/>
          <w:sz w:val="21"/>
        </w:rPr>
        <w:t>Invite informed challenge and document material departures from the Charter, including the reasoning, duration, and corrective action.</w:t>
      </w:r>
    </w:p>
    <w:p>
      <w:pPr>
        <w:pStyle w:val="ListBullet"/>
        <w:spacing w:after="60" w:line="336" w:lineRule="auto"/>
      </w:pPr>
      <w:r>
        <w:rPr>
          <w:rFonts w:ascii="Georgia" w:hAnsi="Georgia"/>
          <w:b w:val="0"/>
          <w:i w:val="0"/>
          <w:color w:val="3A3A4A"/>
          <w:sz w:val="21"/>
        </w:rPr>
        <w:t>Build succession around the Covenant so Precipice Health does not become ethically ownerless when its founder can no longer lead it.</w:t>
      </w:r>
    </w:p>
    <w:p>
      <w:pPr>
        <w:spacing w:before="360" w:after="60"/>
      </w:pPr>
      <w:r>
        <w:rPr>
          <w:rFonts w:ascii="Consolas" w:hAnsi="Consolas"/>
          <w:b/>
          <w:i w:val="0"/>
          <w:color w:val="B45309"/>
          <w:sz w:val="17"/>
          <w:caps w:val="1"/>
          <w:spacing w:val="36"/>
        </w:rPr>
        <w:t>Article VII</w:t>
      </w:r>
    </w:p>
    <w:p>
      <w:pPr>
        <w:spacing w:after="120"/>
      </w:pPr>
      <w:r>
        <w:rPr>
          <w:rFonts w:ascii="Georgia" w:hAnsi="Georgia"/>
          <w:b w:val="0"/>
          <w:i w:val="0"/>
          <w:color w:val="141A2B"/>
          <w:sz w:val="36"/>
        </w:rPr>
        <w:t>Public Accountability</w:t>
      </w:r>
    </w:p>
    <w:p>
      <w:pPr>
        <w:spacing w:after="160" w:line="336" w:lineRule="auto"/>
      </w:pPr>
      <w:r>
        <w:rPr>
          <w:rFonts w:ascii="Georgia" w:hAnsi="Georgia"/>
          <w:b w:val="0"/>
          <w:i w:val="0"/>
          <w:color w:val="3A3A4A"/>
          <w:sz w:val="21"/>
        </w:rPr>
        <w:t>A constitution matters only if people can use it. Precipice Health shall maintain a plain-language public expression of this Charter and establish practical ways to raise concerns. A Watchkeeper or affected person who raises a specific, good-faith concern under the Charter has standing to receive acknowledgment and a reasoned response appropriate to the issue, subject to privacy, security, legal, and personnel constraints. Material product and policy decisions should be explainable through the five Principles.</w:t>
      </w:r>
    </w:p>
    <w:p>
      <w:pPr>
        <w:spacing w:after="160" w:line="336" w:lineRule="auto"/>
      </w:pPr>
      <w:r>
        <w:rPr>
          <w:rFonts w:ascii="Georgia" w:hAnsi="Georgia"/>
          <w:b w:val="0"/>
          <w:i w:val="0"/>
          <w:color w:val="3A3A4A"/>
          <w:sz w:val="21"/>
        </w:rPr>
        <w:t>When the company falls short, the expected response is acknowledgment, containment of harm, correction, communication appropriate to those affected, and learning that changes the system — not reputation management disguised as accountability.</w:t>
      </w:r>
    </w:p>
    <w:p>
      <w:pPr>
        <w:spacing w:after="160" w:line="336" w:lineRule="auto"/>
      </w:pPr>
      <w:r>
        <w:rPr>
          <w:rFonts w:ascii="Georgia" w:hAnsi="Georgia"/>
          <w:b w:val="0"/>
          <w:i w:val="0"/>
          <w:color w:val="3A3A4A"/>
          <w:sz w:val="21"/>
        </w:rPr>
        <w:t xml:space="preserve">At least annually, and more often during major growth, the steward shall publish a concise </w:t>
      </w:r>
      <w:r>
        <w:rPr>
          <w:rFonts w:ascii="Georgia" w:hAnsi="Georgia"/>
          <w:b/>
          <w:i w:val="0"/>
          <w:color w:val="141A2B"/>
          <w:sz w:val="21"/>
        </w:rPr>
        <w:t xml:space="preserve">State of The Precipice </w:t>
      </w:r>
      <w:r>
        <w:rPr>
          <w:rFonts w:ascii="Georgia" w:hAnsi="Georgia"/>
          <w:b w:val="0"/>
          <w:i w:val="0"/>
          <w:color w:val="3A3A4A"/>
          <w:sz w:val="21"/>
        </w:rPr>
        <w:t>publication addressing: mission alignment; product status; user trust and safety; meaningful incidents and remedies; use of Watchkeeper contributions; partnerships that materially shape the work; and any proposed Charter amendments.</w:t>
      </w:r>
    </w:p>
    <w:p>
      <w:pPr>
        <w:spacing w:before="360" w:after="60"/>
      </w:pPr>
      <w:r>
        <w:rPr>
          <w:rFonts w:ascii="Consolas" w:hAnsi="Consolas"/>
          <w:b/>
          <w:i w:val="0"/>
          <w:color w:val="B45309"/>
          <w:sz w:val="17"/>
          <w:caps w:val="1"/>
          <w:spacing w:val="36"/>
        </w:rPr>
        <w:t>Article VIII</w:t>
      </w:r>
    </w:p>
    <w:p>
      <w:pPr>
        <w:spacing w:after="120"/>
      </w:pPr>
      <w:r>
        <w:rPr>
          <w:rFonts w:ascii="Georgia" w:hAnsi="Georgia"/>
          <w:b w:val="0"/>
          <w:i w:val="0"/>
          <w:color w:val="141A2B"/>
          <w:sz w:val="36"/>
        </w:rPr>
        <w:t>Amendment and Permanence</w:t>
      </w:r>
    </w:p>
    <w:p>
      <w:pPr>
        <w:spacing w:after="160" w:line="336" w:lineRule="auto"/>
      </w:pPr>
      <w:r>
        <w:rPr>
          <w:rFonts w:ascii="Georgia" w:hAnsi="Georgia"/>
          <w:b w:val="0"/>
          <w:i w:val="0"/>
          <w:color w:val="3A3A4A"/>
          <w:sz w:val="21"/>
        </w:rPr>
        <w:t>This Charter is living because the movement must learn. It is constitutional because learning must not become an excuse for convenience. Amendments may clarify language, strengthen protections, respond to unforeseen harms, or improve governance. They shall be proposed publicly, explained in plain language, and allowed a meaningful period for Watchkeeper comment before adoption, except where urgent change is required to prevent harm or comply with law.</w:t>
      </w:r>
    </w:p>
    <w:p>
      <w:pPr>
        <w:spacing w:after="160" w:line="336" w:lineRule="auto"/>
      </w:pPr>
      <w:r>
        <w:rPr>
          <w:rFonts w:ascii="Georgia" w:hAnsi="Georgia"/>
          <w:b/>
          <w:i w:val="0"/>
          <w:color w:val="141A2B"/>
          <w:sz w:val="21"/>
        </w:rPr>
        <w:t>No amendment is legitimate if its primary purpose is to:</w:t>
      </w:r>
    </w:p>
    <w:p>
      <w:pPr>
        <w:pStyle w:val="ListBullet"/>
        <w:spacing w:after="60" w:line="336" w:lineRule="auto"/>
      </w:pPr>
      <w:r>
        <w:rPr>
          <w:rFonts w:ascii="Georgia" w:hAnsi="Georgia"/>
          <w:b w:val="0"/>
          <w:i w:val="0"/>
          <w:color w:val="3A3A4A"/>
          <w:sz w:val="21"/>
        </w:rPr>
        <w:t>Make the sale of personal data acceptable</w:t>
      </w:r>
    </w:p>
    <w:p>
      <w:pPr>
        <w:pStyle w:val="ListBullet"/>
        <w:spacing w:after="60" w:line="336" w:lineRule="auto"/>
      </w:pPr>
      <w:r>
        <w:rPr>
          <w:rFonts w:ascii="Georgia" w:hAnsi="Georgia"/>
          <w:b w:val="0"/>
          <w:i w:val="0"/>
          <w:color w:val="3A3A4A"/>
          <w:sz w:val="21"/>
        </w:rPr>
        <w:t>Permit undisclosed use of personal content for model training</w:t>
      </w:r>
    </w:p>
    <w:p>
      <w:pPr>
        <w:pStyle w:val="ListBullet"/>
        <w:spacing w:after="60" w:line="336" w:lineRule="auto"/>
      </w:pPr>
      <w:r>
        <w:rPr>
          <w:rFonts w:ascii="Georgia" w:hAnsi="Georgia"/>
          <w:b w:val="0"/>
          <w:i w:val="0"/>
          <w:color w:val="3A3A4A"/>
          <w:sz w:val="21"/>
        </w:rPr>
        <w:t>Erase human dignity as the controlling concern</w:t>
      </w:r>
    </w:p>
    <w:p>
      <w:pPr>
        <w:pStyle w:val="ListBullet"/>
        <w:spacing w:after="60" w:line="336" w:lineRule="auto"/>
      </w:pPr>
      <w:r>
        <w:rPr>
          <w:rFonts w:ascii="Georgia" w:hAnsi="Georgia"/>
          <w:b w:val="0"/>
          <w:i w:val="0"/>
          <w:color w:val="3A3A4A"/>
          <w:sz w:val="21"/>
        </w:rPr>
        <w:t>Silence good-faith criticism</w:t>
      </w:r>
    </w:p>
    <w:p>
      <w:pPr>
        <w:pStyle w:val="ListBullet"/>
        <w:spacing w:after="60" w:line="336" w:lineRule="auto"/>
      </w:pPr>
      <w:r>
        <w:rPr>
          <w:rFonts w:ascii="Georgia" w:hAnsi="Georgia"/>
          <w:b w:val="0"/>
          <w:i w:val="0"/>
          <w:color w:val="3A3A4A"/>
          <w:sz w:val="21"/>
        </w:rPr>
        <w:t>Subordinate the movement's mission to investor return</w:t>
      </w:r>
    </w:p>
    <w:p>
      <w:pPr>
        <w:pStyle w:val="ListBullet"/>
        <w:spacing w:after="60" w:line="336" w:lineRule="auto"/>
      </w:pPr>
      <w:r>
        <w:rPr>
          <w:rFonts w:ascii="Georgia" w:hAnsi="Georgia"/>
          <w:b w:val="0"/>
          <w:i w:val="0"/>
          <w:color w:val="3A3A4A"/>
          <w:sz w:val="21"/>
        </w:rPr>
        <w:t>Create preferential access, private benefits, or elevated status tied to contribution amount</w:t>
      </w:r>
    </w:p>
    <w:p>
      <w:pPr>
        <w:spacing w:after="160" w:line="336" w:lineRule="auto"/>
      </w:pPr>
      <w:r>
        <w:rPr>
          <w:rFonts w:ascii="Georgia" w:hAnsi="Georgia"/>
          <w:b w:val="0"/>
          <w:i w:val="0"/>
          <w:color w:val="3A3A4A"/>
          <w:sz w:val="21"/>
        </w:rPr>
        <w:t>If Precipice Health can no longer uphold this Charter, it must say so plainly rather than preserve the language as decoration.</w:t>
      </w:r>
    </w:p>
    <w:tbl>
      <w:tblPr>
        <w:tblW w:type="auto" w:w="0"/>
        <w:tblLayout w:type="fixed"/>
        <w:tblLook w:firstColumn="1" w:firstRow="1" w:lastColumn="0" w:lastRow="0" w:noHBand="0" w:noVBand="1" w:val="04A0"/>
      </w:tblPr>
      <w:tblGrid>
        <w:gridCol w:w="8787"/>
      </w:tblGrid>
      <w:tr>
        <w:tc>
          <w:tcPr>
            <w:tcW w:type="dxa" w:w="8787"/>
            <w:shd w:val="clear" w:color="auto" w:fill="F5EDD4"/>
            <w:tcMar>
              <w:top w:w="220" w:type="dxa"/>
              <w:left w:w="260" w:type="dxa"/>
              <w:bottom w:w="220" w:type="dxa"/>
              <w:right w:w="260" w:type="dxa"/>
            </w:tcMar>
          </w:tcPr>
          <w:p>
            <w:pPr>
              <w:spacing w:after="120"/>
              <w:jc w:val="center"/>
            </w:pPr>
            <w:r>
              <w:rPr>
                <w:rFonts w:ascii="Consolas" w:hAnsi="Consolas"/>
                <w:b/>
                <w:i w:val="0"/>
                <w:color w:val="B45309"/>
                <w:sz w:val="18"/>
                <w:caps w:val="1"/>
                <w:spacing w:val="48"/>
              </w:rPr>
              <w:t>The Public Test</w:t>
            </w:r>
          </w:p>
          <w:p>
            <w:pPr>
              <w:spacing w:after="80"/>
              <w:jc w:val="center"/>
            </w:pPr>
            <w:r>
              <w:rPr>
                <w:rFonts w:ascii="Georgia" w:hAnsi="Georgia"/>
                <w:b w:val="0"/>
                <w:i/>
                <w:color w:val="141A2B"/>
                <w:sz w:val="26"/>
              </w:rPr>
              <w:t>Does this choice help people see more clearly, speak more credibly, decide more freely, and remain more fully their own?</w:t>
            </w:r>
          </w:p>
          <w:p>
            <w:pPr>
              <w:jc w:val="center"/>
            </w:pPr>
            <w:r>
              <w:rPr>
                <w:rFonts w:ascii="Georgia" w:hAnsi="Georgia"/>
                <w:b w:val="0"/>
                <w:i/>
                <w:color w:val="6B6558"/>
                <w:sz w:val="20"/>
              </w:rPr>
              <w:t xml:space="preserve">If the answer is not clearly </w:t>
            </w:r>
            <w:r>
              <w:rPr>
                <w:rFonts w:ascii="Georgia" w:hAnsi="Georgia"/>
                <w:b/>
                <w:i w:val="0"/>
                <w:color w:val="B45309"/>
                <w:sz w:val="20"/>
              </w:rPr>
              <w:t>yes</w:t>
            </w:r>
            <w:r>
              <w:rPr>
                <w:rFonts w:ascii="Georgia" w:hAnsi="Georgia"/>
                <w:b w:val="0"/>
                <w:i/>
                <w:color w:val="6B6558"/>
                <w:sz w:val="20"/>
              </w:rPr>
              <w:t>, the choice does not belong to The Precipice.</w:t>
            </w:r>
          </w:p>
        </w:tc>
      </w:tr>
    </w:tbl>
    <w:p/>
    <w:tbl>
      <w:tblPr>
        <w:tblW w:type="auto" w:w="0"/>
        <w:tblLayout w:type="fixed"/>
        <w:tblLook w:firstColumn="1" w:firstRow="1" w:lastColumn="0" w:lastRow="0" w:noHBand="0" w:noVBand="1" w:val="04A0"/>
      </w:tblPr>
      <w:tblGrid>
        <w:gridCol w:w="8787"/>
      </w:tblGrid>
      <w:tr>
        <w:tc>
          <w:tcPr>
            <w:tcW w:type="dxa" w:w="8787"/>
            <w:shd w:val="clear" w:color="auto" w:fill="141A2B"/>
            <w:tcMar>
              <w:top w:w="240" w:type="dxa"/>
              <w:left w:w="280" w:type="dxa"/>
              <w:bottom w:w="240" w:type="dxa"/>
              <w:right w:w="280" w:type="dxa"/>
            </w:tcMar>
          </w:tcPr>
          <w:p>
            <w:pPr>
              <w:spacing w:after="160"/>
            </w:pPr>
            <w:r>
              <w:rPr>
                <w:rFonts w:ascii="Consolas" w:hAnsi="Consolas"/>
                <w:b/>
                <w:i w:val="0"/>
                <w:color w:val="F59E0B"/>
                <w:sz w:val="18"/>
                <w:caps w:val="1"/>
                <w:spacing w:val="48"/>
              </w:rPr>
              <w:t>The Founding Pledge</w:t>
            </w:r>
          </w:p>
          <w:p>
            <w:pPr>
              <w:spacing w:after="160" w:line="372" w:lineRule="auto"/>
            </w:pPr>
            <w:r>
              <w:rPr>
                <w:rFonts w:ascii="Georgia" w:hAnsi="Georgia"/>
                <w:b w:val="0"/>
                <w:i w:val="0"/>
                <w:color w:val="D9D3C2"/>
                <w:sz w:val="21"/>
              </w:rPr>
              <w:t>We will build tools worthy of the private realities placed inside them. We will respect the distance between data and truth, between assistance and authority, and between growth and service. We will earn trust through restraint, candor, repair, and work that remains useful after the novelty fades.</w:t>
            </w:r>
          </w:p>
          <w:p>
            <w:pPr>
              <w:spacing w:after="160" w:line="372" w:lineRule="auto"/>
            </w:pPr>
            <w:r>
              <w:rPr>
                <w:rFonts w:ascii="Georgia" w:hAnsi="Georgia"/>
                <w:b w:val="0"/>
                <w:i w:val="0"/>
                <w:color w:val="D9D3C2"/>
                <w:sz w:val="21"/>
              </w:rPr>
              <w:t>We will remember that The Precipice is not the edge from which people fall. It is the place from which they can finally see: their patterns, their evidence, their choices, one another, and the power they already possess.</w:t>
            </w:r>
          </w:p>
          <w:p>
            <w:pPr>
              <w:spacing w:after="120" w:line="372" w:lineRule="auto"/>
            </w:pPr>
            <w:r>
              <w:rPr>
                <w:rFonts w:ascii="Georgia" w:hAnsi="Georgia"/>
                <w:b w:val="0"/>
                <w:i w:val="0"/>
                <w:color w:val="D9D3C2"/>
                <w:sz w:val="21"/>
              </w:rPr>
              <w:t>We accept the roles this Charter creates: the Founder as constituting authority, Precipice Health as institutional steward, and Watchkeepers as witnesses, contributors, and guardians. None stands above the Covenant while acting in the name of The Precipice.</w:t>
            </w:r>
          </w:p>
          <w:p>
            <w:pPr>
              <w:spacing w:before="120"/>
              <w:jc w:val="center"/>
            </w:pPr>
            <w:r>
              <w:rPr>
                <w:rFonts w:ascii="Georgia" w:hAnsi="Georgia"/>
                <w:b w:val="0"/>
                <w:i/>
                <w:color w:val="F59E0B"/>
                <w:sz w:val="22"/>
              </w:rPr>
              <w:t>Data is the currency of transparency, the gateway to evidence, and the precipice of power.</w:t>
            </w:r>
          </w:p>
        </w:tc>
      </w:tr>
    </w:tbl>
    <w:p/>
    <w:tbl>
      <w:tblPr>
        <w:tblW w:type="auto" w:w="0"/>
        <w:tblLayout w:type="fixed"/>
        <w:tblLook w:firstColumn="1" w:firstRow="1" w:lastColumn="0" w:lastRow="0" w:noHBand="0" w:noVBand="1" w:val="04A0"/>
      </w:tblPr>
      <w:tblGrid>
        <w:gridCol w:w="4365"/>
        <w:gridCol w:w="4365"/>
      </w:tblGrid>
      <w:tr>
        <w:tc>
          <w:tcPr>
            <w:tcW w:type="dxa" w:w="4365"/>
            <w:tcBorders>
              <w:top w:val="nil"/>
              <w:left w:val="nil"/>
              <w:bottom w:val="nil"/>
              <w:right w:val="nil"/>
            </w:tcBorders>
          </w:tcPr>
          <w:p>
            <w:r>
              <w:rPr>
                <w:rFonts w:ascii="Consolas" w:hAnsi="Consolas"/>
                <w:b/>
                <w:i w:val="0"/>
                <w:color w:val="B45309"/>
                <w:sz w:val="17"/>
                <w:caps w:val="1"/>
                <w:spacing w:val="32"/>
              </w:rPr>
              <w:t>Adopted and proclaimed by</w:t>
            </w:r>
          </w:p>
          <w:p>
            <w:pPr>
              <w:spacing w:line="336" w:lineRule="auto"/>
            </w:pPr>
            <w:r>
              <w:rPr>
                <w:rFonts w:ascii="Georgia" w:hAnsi="Georgia"/>
                <w:b/>
                <w:i w:val="0"/>
                <w:color w:val="141A2B"/>
                <w:sz w:val="22"/>
              </w:rPr>
              <w:t>Roger M. Mishoe</w:t>
            </w:r>
            <w:r>
              <w:rPr>
                <w:rFonts w:ascii="Georgia" w:hAnsi="Georgia"/>
                <w:b w:val="0"/>
                <w:i w:val="0"/>
                <w:color w:val="3A3A4A"/>
                <w:sz w:val="20"/>
              </w:rPr>
              <w:br/>
              <w:t>Founder · The Precipice</w:t>
            </w:r>
            <w:r>
              <w:rPr>
                <w:rFonts w:ascii="Georgia" w:hAnsi="Georgia"/>
                <w:b w:val="0"/>
                <w:i w:val="0"/>
                <w:color w:val="3A3A4A"/>
                <w:sz w:val="20"/>
              </w:rPr>
              <w:br/>
              <w:t>Founder · Precipice Health, LLC</w:t>
            </w:r>
            <w:r>
              <w:rPr>
                <w:rFonts w:ascii="Georgia" w:hAnsi="Georgia"/>
                <w:b w:val="0"/>
                <w:i w:val="0"/>
                <w:color w:val="3A3A4A"/>
                <w:sz w:val="20"/>
              </w:rPr>
              <w:br/>
              <w:t>U.S. Navy &amp; Marine Corps Veteran</w:t>
            </w:r>
          </w:p>
        </w:tc>
        <w:tc>
          <w:tcPr>
            <w:tcW w:type="dxa" w:w="4365"/>
            <w:tcBorders>
              <w:top w:val="nil"/>
              <w:left w:val="nil"/>
              <w:bottom w:val="nil"/>
              <w:right w:val="nil"/>
            </w:tcBorders>
          </w:tcPr>
          <w:p>
            <w:r>
              <w:rPr>
                <w:rFonts w:ascii="Consolas" w:hAnsi="Consolas"/>
                <w:b/>
                <w:i w:val="0"/>
                <w:color w:val="B45309"/>
                <w:sz w:val="17"/>
                <w:caps w:val="1"/>
                <w:spacing w:val="32"/>
              </w:rPr>
              <w:t>Effective</w:t>
            </w:r>
          </w:p>
          <w:p>
            <w:pPr>
              <w:spacing w:line="336" w:lineRule="auto"/>
            </w:pPr>
            <w:r>
              <w:rPr>
                <w:rFonts w:ascii="Georgia" w:hAnsi="Georgia"/>
                <w:b/>
                <w:i w:val="0"/>
                <w:color w:val="141A2B"/>
                <w:sz w:val="22"/>
              </w:rPr>
              <w:t>10 August 2026</w:t>
            </w:r>
            <w:r>
              <w:rPr>
                <w:rFonts w:ascii="Georgia" w:hAnsi="Georgia"/>
                <w:b w:val="0"/>
                <w:i w:val="0"/>
                <w:color w:val="3A3A4A"/>
                <w:sz w:val="20"/>
              </w:rPr>
              <w:br/>
              <w:t>Founding Charter · Version 1.3</w:t>
            </w:r>
          </w:p>
        </w:tc>
      </w:tr>
    </w:tbl>
    <w:p>
      <w:pPr>
        <w:spacing w:before="280"/>
      </w:pPr>
      <w:r>
        <w:rPr>
          <w:rFonts w:ascii="Consolas" w:hAnsi="Consolas"/>
          <w:b w:val="0"/>
          <w:i w:val="0"/>
          <w:color w:val="6B6558"/>
          <w:sz w:val="18"/>
        </w:rPr>
        <w:t xml:space="preserve">Public ledger · </w:t>
      </w:r>
      <w:r>
        <w:rPr>
          <w:rFonts w:ascii="Consolas" w:hAnsi="Consolas"/>
          <w:b/>
          <w:i w:val="0"/>
          <w:color w:val="B45309"/>
          <w:sz w:val="18"/>
        </w:rPr>
        <w:t xml:space="preserve">opencollective.com/precipice-health </w:t>
      </w:r>
      <w:r>
        <w:rPr>
          <w:rFonts w:ascii="Consolas" w:hAnsi="Consolas"/>
          <w:b w:val="0"/>
          <w:i/>
          <w:color w:val="6B6558"/>
          <w:sz w:val="18"/>
        </w:rPr>
        <w:t>(opening soon)</w:t>
      </w:r>
    </w:p>
    <w:sectPr w:rsidR="00FC693F" w:rsidRPr="0006063C" w:rsidSect="00034616">
      <w:pgSz w:w="12240" w:h="15840"/>
      <w:pgMar w:top="1134" w:right="1361" w:bottom="1134"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